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Sources for Play Evaluation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Early Years Evaluation (EYE)</w:t>
      </w:r>
    </w:p>
    <w:p w:rsidR="00000000" w:rsidDel="00000000" w:rsidP="00000000" w:rsidRDefault="00000000" w:rsidRPr="00000000">
      <w:pPr>
        <w:spacing w:line="276" w:lineRule="auto"/>
        <w:contextualSpacing w:val="0"/>
      </w:pP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https://www.earlyyearsevaluation.com/index.php/en/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HighScope’s Preschool Child Observation Record </w:t>
      </w:r>
    </w:p>
    <w:p w:rsidR="00000000" w:rsidDel="00000000" w:rsidP="00000000" w:rsidRDefault="00000000" w:rsidRPr="00000000">
      <w:pPr>
        <w:spacing w:line="276" w:lineRule="auto"/>
        <w:contextualSpacing w:val="0"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http://www.highscope.org/file/Assessment/StateAlignments/COR%20to%20KDIs_Aug2010.pdf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Learn to Play</w:t>
      </w:r>
    </w:p>
    <w:p w:rsidR="00000000" w:rsidDel="00000000" w:rsidP="00000000" w:rsidRDefault="00000000" w:rsidRPr="00000000">
      <w:pPr>
        <w:spacing w:line="276" w:lineRule="auto"/>
        <w:contextualSpacing w:val="0"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http://www.karenstagnitti.com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76" w:lineRule="auto"/>
        <w:contextualSpacing w:val="0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karenstagnitti.com" TargetMode="External"/><Relationship Id="rId10" Type="http://schemas.openxmlformats.org/officeDocument/2006/relationships/hyperlink" Target="http://www.highscope.org/file/Assessment/StateAlignments/COR%20to%20KDIs_Aug2010.pdf" TargetMode="External"/><Relationship Id="rId13" Type="http://schemas.openxmlformats.org/officeDocument/2006/relationships/hyperlink" Target="http://www.karenstagnitti.com" TargetMode="External"/><Relationship Id="rId12" Type="http://schemas.openxmlformats.org/officeDocument/2006/relationships/hyperlink" Target="http://www.karenstagnitti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highscope.org/file/Assessment/StateAlignments/COR%20to%20KDIs_Aug2010.pdf" TargetMode="External"/><Relationship Id="rId5" Type="http://schemas.openxmlformats.org/officeDocument/2006/relationships/hyperlink" Target="https://www.earlyyearsevaluation.com/index.php/en/" TargetMode="External"/><Relationship Id="rId6" Type="http://schemas.openxmlformats.org/officeDocument/2006/relationships/hyperlink" Target="https://www.earlyyearsevaluation.com/index.php/en/" TargetMode="External"/><Relationship Id="rId7" Type="http://schemas.openxmlformats.org/officeDocument/2006/relationships/hyperlink" Target="https://www.earlyyearsevaluation.com/index.php/en/" TargetMode="External"/><Relationship Id="rId8" Type="http://schemas.openxmlformats.org/officeDocument/2006/relationships/hyperlink" Target="http://www.highscope.org/file/Assessment/StateAlignments/COR%20to%20KDIs_Aug2010.pdf" TargetMode="External"/></Relationships>
</file>