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Kindergarten Program Statement (2008) 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https://education.alberta.ca/media/563583/kindprogstate2008.pdf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Guiding Principles (2007)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https://education.alberta.ca/media/563581/guidingprinc_curr2007.pdf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Guiding Principles Teacher Suggestions (2007)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https://education.alberta.ca/media/563579/guidingprinc_teacher2007.pdf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Guiding Principles -Curriculum Integration (2007)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https://education.alberta.ca/media/563581/guidingprinc_curr2007.pdf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NAEYC- Position Statements - Developmentally Appropriate Practice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http://www.naeyc.org/positionstatements/dap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naeyc.org/positionstatements/dap" TargetMode="External"/><Relationship Id="rId5" Type="http://schemas.openxmlformats.org/officeDocument/2006/relationships/hyperlink" Target="https://education.alberta.ca/media/563583/kindprogstate2008.pdf" TargetMode="External"/><Relationship Id="rId6" Type="http://schemas.openxmlformats.org/officeDocument/2006/relationships/hyperlink" Target="https://education.alberta.ca/media/563581/guidingprinc_curr2007.pdf" TargetMode="External"/><Relationship Id="rId7" Type="http://schemas.openxmlformats.org/officeDocument/2006/relationships/hyperlink" Target="https://education.alberta.ca/media/563579/guidingprinc_teacher2007.pdf" TargetMode="External"/><Relationship Id="rId8" Type="http://schemas.openxmlformats.org/officeDocument/2006/relationships/hyperlink" Target="https://education.alberta.ca/media/563581/guidingprinc_curr2007.pdf" TargetMode="External"/></Relationships>
</file>