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bookmarkStart w:colFirst="0" w:colLast="0" w:name="_yx6a7wvcr4ya" w:id="0"/>
      <w:bookmarkEnd w:id="0"/>
      <w:r w:rsidDel="00000000" w:rsidR="00000000" w:rsidRPr="00000000">
        <w:rPr>
          <w:b w:val="1"/>
          <w:u w:val="single"/>
          <w:rtl w:val="0"/>
        </w:rPr>
        <w:t xml:space="preserve">Literacy (and Numeracy) Parent Links</w:t>
      </w:r>
    </w:p>
    <w:p w:rsidR="00000000" w:rsidDel="00000000" w:rsidP="00000000" w:rsidRDefault="00000000" w:rsidRPr="00000000">
      <w:pPr>
        <w:contextualSpacing w:val="0"/>
      </w:pPr>
      <w:bookmarkStart w:colFirst="0" w:colLast="0" w:name="_i2dcjeminmu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2"/>
      <w:bookmarkEnd w:id="2"/>
      <w:r w:rsidDel="00000000" w:rsidR="00000000" w:rsidRPr="00000000">
        <w:rPr>
          <w:b w:val="1"/>
          <w:rtl w:val="0"/>
        </w:rPr>
        <w:t xml:space="preserve">Early Literacy and Numeracy building; good practice cards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Australian resource shares pictures, script and activities regarding how to enhance numeracy and literacy development in the home.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https://docs.education.gov.au/system/files/doc/other/ed13-0077_ec_literacy_and_numeracy_building_good_practice_resources_literacy_and_numeracy_cards_acc.pdf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bookmarkStart w:colFirst="0" w:colLast="0" w:name="_gjdgxs" w:id="2"/>
      <w:bookmarkEnd w:id="2"/>
      <w:r w:rsidDel="00000000" w:rsidR="00000000" w:rsidRPr="00000000">
        <w:rPr>
          <w:b w:val="1"/>
          <w:rtl w:val="0"/>
        </w:rPr>
        <w:t xml:space="preserve">Early Literacy and Numeracy building; good practice resource booklet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resource booklet builds on the learning from the practice cards above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https://docs.education.gov.au/system/files/doc/other/ed13-0077_ec_literacy_and_numeracy_building_good_practice_resources_booklet_acc.pdf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Where We Stand - Learning to Read and Write NAEYC and ILA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two page backgrounder provides information about the importance of developmentally appropriate literacy practices- at home and in school.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http://www.naeyc.org/files/naeyc/file/positions/WWSSLearningToReadAndWriteEnglish.pdf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Canadian Association for Young Children- Family Literacy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sz w:val="18"/>
          <w:szCs w:val="18"/>
          <w:highlight w:val="white"/>
          <w:rtl w:val="0"/>
        </w:rPr>
        <w:t xml:space="preserve">When teachers and parents plan children’s environments and activities carefully so that literacy is an integral part of everything they do, then literacy learning becomes a natural and meaningful part of children’s everyday lives (J. Schickedanz, 1986).  This site helps you understand how to enhance literacy at home.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http://cayc.ca/node/68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Alberta Education Literacy Supports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Literacy is more than reading and writing.  Working together families can help support literacy development and success for their children.</w:t>
      </w:r>
    </w:p>
    <w:p w:rsidR="00000000" w:rsidDel="00000000" w:rsidP="00000000" w:rsidRDefault="00000000" w:rsidRPr="00000000">
      <w:pPr>
        <w:contextualSpacing w:val="0"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https://education.alberta.ca/literacy-and-numeracy/literacy/everyone/what-is-literacy/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Early Literacy Development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 variety of videos and learning guides from the Zero to Three organization that explain the development of early literacy skills.</w:t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https://www.zerotothree.org/early-learning/early-literacy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1" Type="http://schemas.openxmlformats.org/officeDocument/2006/relationships/hyperlink" Target="https://www.zerotothree.org/early-learning/early-literacy" TargetMode="External"/><Relationship Id="rId10" Type="http://schemas.openxmlformats.org/officeDocument/2006/relationships/hyperlink" Target="https://education.alberta.ca/literacy-and-numeracy/literacy/everyone/what-is-literacy/" TargetMode="External"/><Relationship Id="rId9" Type="http://schemas.openxmlformats.org/officeDocument/2006/relationships/hyperlink" Target="http://cayc.ca/node/68" TargetMode="External"/><Relationship Id="rId5" Type="http://schemas.openxmlformats.org/officeDocument/2006/relationships/hyperlink" Target="https://docs.education.gov.au/system/files/doc/other/ed13-0077_ec_literacy_and_numeracy_building_good_practice_resources_literacy_and_numeracy_cards_acc.pdf" TargetMode="External"/><Relationship Id="rId6" Type="http://schemas.openxmlformats.org/officeDocument/2006/relationships/hyperlink" Target="http://erlc.wikispaces.com/SMART+Board+Early+Literacy+Series" TargetMode="External"/><Relationship Id="rId7" Type="http://schemas.openxmlformats.org/officeDocument/2006/relationships/hyperlink" Target="https://docs.education.gov.au/system/files/doc/other/ed13-0077_ec_literacy_and_numeracy_building_good_practice_resources_booklet_acc.pdf" TargetMode="External"/><Relationship Id="rId8" Type="http://schemas.openxmlformats.org/officeDocument/2006/relationships/hyperlink" Target="http://www.naeyc.org/files/naeyc/file/positions/WWSSLearningToReadAndWriteEnglish.pdf" TargetMode="External"/></Relationships>
</file>