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u w:val="single"/>
          <w:rtl w:val="0"/>
        </w:rPr>
        <w:t xml:space="preserve">Links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NAEYC- Play and Children’s Learning</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Read about the latest research on play, play based learning, why play is an important part of children's learning and development, the role of play in the classroom and ideas to share with families.</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http://www.naeyc.org/play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CMEC Position on Play-based Learning</w:t>
      </w:r>
    </w:p>
    <w:p w:rsidR="00000000" w:rsidDel="00000000" w:rsidP="00000000" w:rsidRDefault="00000000" w:rsidRPr="00000000">
      <w:pPr>
        <w:contextualSpacing w:val="0"/>
      </w:pPr>
      <w:hyperlink r:id="rId6">
        <w:r w:rsidDel="00000000" w:rsidR="00000000" w:rsidRPr="00000000">
          <w:rPr>
            <w:color w:val="1155cc"/>
            <w:u w:val="single"/>
            <w:rtl w:val="0"/>
          </w:rPr>
          <w:t xml:space="preserve">http://www.cmec.ca/Publications/lists/publications/attachments/282/play-based-learning_statement_EN.pdf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CAYC Canadian Association for Young Children </w:t>
      </w:r>
      <w:r w:rsidDel="00000000" w:rsidR="00000000" w:rsidRPr="00000000">
        <w:rPr>
          <w:color w:val="373737"/>
          <w:sz w:val="27"/>
          <w:szCs w:val="27"/>
          <w:highlight w:val="white"/>
          <w:rtl w:val="0"/>
        </w:rPr>
        <w:t xml:space="preserve">Position Statements </w:t>
      </w:r>
      <w:r w:rsidDel="00000000" w:rsidR="00000000" w:rsidRPr="00000000">
        <w:rPr>
          <w:rtl w:val="0"/>
        </w:rPr>
        <w:t xml:space="preserve">Play </w:t>
      </w:r>
    </w:p>
    <w:p w:rsidR="00000000" w:rsidDel="00000000" w:rsidP="00000000" w:rsidRDefault="00000000" w:rsidRPr="00000000">
      <w:pPr>
        <w:contextualSpacing w:val="0"/>
      </w:pPr>
      <w:hyperlink r:id="rId7">
        <w:r w:rsidDel="00000000" w:rsidR="00000000" w:rsidRPr="00000000">
          <w:rPr>
            <w:color w:val="1155cc"/>
            <w:u w:val="single"/>
            <w:rtl w:val="0"/>
          </w:rPr>
          <w:t xml:space="preserve">http://cayc.ca/content/philosophy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Crisis in Kindergarten Why Children Need to Play in School</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https://drive.google.com/open?id=0B2TtSLAKjQ4eV3pmcHdXYUU3dE0</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Assessing and Scaffolding Make Believe Play by Deborah J. Leong and Elena Bodrova</w:t>
      </w:r>
    </w:p>
    <w:p w:rsidR="00000000" w:rsidDel="00000000" w:rsidP="00000000" w:rsidRDefault="00000000" w:rsidRPr="00000000">
      <w:pPr>
        <w:contextualSpacing w:val="0"/>
      </w:pPr>
      <w:hyperlink r:id="rId9">
        <w:r w:rsidDel="00000000" w:rsidR="00000000" w:rsidRPr="00000000">
          <w:rPr>
            <w:color w:val="1155cc"/>
            <w:u w:val="single"/>
            <w:rtl w:val="0"/>
          </w:rPr>
          <w:t xml:space="preserve">https://www.naeyc.org/files/yc/file/201201/Leong_Make_Believe_Play_Jan2012.pdf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Crisis in the Kindergarten, a report which argues that child initiated play must be restored to kindergarten, is available online at</w:t>
      </w:r>
    </w:p>
    <w:p w:rsidR="00000000" w:rsidDel="00000000" w:rsidP="00000000" w:rsidRDefault="00000000" w:rsidRPr="00000000">
      <w:pPr>
        <w:contextualSpacing w:val="0"/>
      </w:pPr>
      <w:hyperlink r:id="rId10">
        <w:r w:rsidDel="00000000" w:rsidR="00000000" w:rsidRPr="00000000">
          <w:rPr>
            <w:color w:val="1155cc"/>
            <w:u w:val="single"/>
            <w:rtl w:val="0"/>
          </w:rPr>
          <w:t xml:space="preserve">www.allianceforchildhood.org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Calendar Time for Young Children, Good Intentions Gone Awry, by Sallee J. Beneke, Michaelene M. Ostrosky, and Lilian G. Katz an be found at</w:t>
      </w:r>
    </w:p>
    <w:p w:rsidR="00000000" w:rsidDel="00000000" w:rsidP="00000000" w:rsidRDefault="00000000" w:rsidRPr="00000000">
      <w:pPr>
        <w:contextualSpacing w:val="0"/>
      </w:pPr>
      <w:hyperlink r:id="rId11">
        <w:r w:rsidDel="00000000" w:rsidR="00000000" w:rsidRPr="00000000">
          <w:rPr>
            <w:color w:val="1155cc"/>
            <w:u w:val="single"/>
            <w:rtl w:val="0"/>
          </w:rPr>
          <w:t xml:space="preserve">http://www.naeyc.org/files/tyc/file/CalendarTime.pdf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Playing is Learning- this article examines defining play, the changing nature of play and how to plan for play in the Kindergarten classroom.  It is also supported by a pamphlet of the same name.</w:t>
      </w:r>
    </w:p>
    <w:p w:rsidR="00000000" w:rsidDel="00000000" w:rsidP="00000000" w:rsidRDefault="00000000" w:rsidRPr="00000000">
      <w:pPr>
        <w:contextualSpacing w:val="0"/>
      </w:pPr>
      <w:hyperlink r:id="rId12">
        <w:r w:rsidDel="00000000" w:rsidR="00000000" w:rsidRPr="00000000">
          <w:rPr>
            <w:color w:val="1155cc"/>
            <w:u w:val="single"/>
            <w:rtl w:val="0"/>
          </w:rPr>
          <w:t xml:space="preserve">http://www.etfo.ca/Resources/ForTeachers/Documents/Playing%20is%20Learning.pdf</w:t>
        </w:r>
      </w:hyperlink>
      <w:r w:rsidDel="00000000" w:rsidR="00000000" w:rsidRPr="00000000">
        <w:rPr>
          <w:rtl w:val="0"/>
        </w:rPr>
      </w:r>
    </w:p>
    <w:p w:rsidR="00000000" w:rsidDel="00000000" w:rsidP="00000000" w:rsidRDefault="00000000" w:rsidRPr="00000000">
      <w:pPr>
        <w:contextualSpacing w:val="0"/>
      </w:pPr>
      <w:hyperlink r:id="rId13">
        <w:r w:rsidDel="00000000" w:rsidR="00000000" w:rsidRPr="00000000">
          <w:rPr>
            <w:color w:val="1155cc"/>
            <w:sz w:val="20"/>
            <w:szCs w:val="20"/>
            <w:u w:val="single"/>
            <w:rtl w:val="0"/>
          </w:rPr>
          <w:t xml:space="preserve">http://www.etfo.ca/Resources/ForTeachers/Documents/Playing%20is%20Learning%20Pamphlet.pdf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aeyc.org/files/tyc/file/CalendarTime.pdf" TargetMode="External"/><Relationship Id="rId10" Type="http://schemas.openxmlformats.org/officeDocument/2006/relationships/hyperlink" Target="http://www.allianceforchildhood.org" TargetMode="External"/><Relationship Id="rId13" Type="http://schemas.openxmlformats.org/officeDocument/2006/relationships/hyperlink" Target="http://www.etfo.ca/Resources/ForTeachers/Documents/Playing%20is%20Learning%20Pamphlet.pdf" TargetMode="External"/><Relationship Id="rId12" Type="http://schemas.openxmlformats.org/officeDocument/2006/relationships/hyperlink" Target="http://www.etfo.ca/Resources/ForTeachers/Documents/Playing%20is%20Learning.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naeyc.org/files/yc/file/201201/Leong_Make_Believe_Play_Jan2012.pdf" TargetMode="External"/><Relationship Id="rId5" Type="http://schemas.openxmlformats.org/officeDocument/2006/relationships/hyperlink" Target="http://www.naeyc.org/play" TargetMode="External"/><Relationship Id="rId6" Type="http://schemas.openxmlformats.org/officeDocument/2006/relationships/hyperlink" Target="http://www.cmec.ca/Publications/lists/publications/attachments/282/play-based-learning_statement_EN.pdf" TargetMode="External"/><Relationship Id="rId7" Type="http://schemas.openxmlformats.org/officeDocument/2006/relationships/hyperlink" Target="http://cayc.ca/content/philosophy" TargetMode="External"/><Relationship Id="rId8" Type="http://schemas.openxmlformats.org/officeDocument/2006/relationships/hyperlink" Target="https://drive.google.com/open?id=0B2TtSLAKjQ4eV3pmcHdXYUU3dE0" TargetMode="External"/></Relationships>
</file>